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41" w:rsidRDefault="000F6941" w:rsidP="003761C8">
      <w:pPr>
        <w:spacing w:after="12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lang w:eastAsia="it-IT"/>
        </w:rPr>
        <w:drawing>
          <wp:inline distT="0" distB="0" distL="0" distR="0">
            <wp:extent cx="798576" cy="658368"/>
            <wp:effectExtent l="0" t="0" r="190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I_completo_picco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941" w:rsidRDefault="000F6941" w:rsidP="003761C8">
      <w:pPr>
        <w:spacing w:after="120"/>
        <w:jc w:val="center"/>
        <w:rPr>
          <w:rFonts w:ascii="Arial" w:hAnsi="Arial" w:cs="Arial"/>
          <w:b/>
          <w:bCs/>
          <w:i/>
        </w:rPr>
      </w:pPr>
    </w:p>
    <w:p w:rsidR="00D12964" w:rsidRDefault="00D12964" w:rsidP="003761C8">
      <w:pPr>
        <w:spacing w:after="120"/>
        <w:jc w:val="center"/>
        <w:rPr>
          <w:rFonts w:ascii="Arial" w:hAnsi="Arial" w:cs="Arial"/>
          <w:b/>
          <w:bCs/>
          <w:i/>
        </w:rPr>
      </w:pPr>
    </w:p>
    <w:p w:rsidR="00D12964" w:rsidRDefault="00D12964" w:rsidP="003761C8">
      <w:pPr>
        <w:spacing w:after="120"/>
        <w:jc w:val="center"/>
        <w:rPr>
          <w:rFonts w:ascii="Arial" w:hAnsi="Arial" w:cs="Arial"/>
          <w:b/>
          <w:bCs/>
          <w:i/>
        </w:rPr>
      </w:pPr>
    </w:p>
    <w:p w:rsidR="00D12964" w:rsidRDefault="00D12964" w:rsidP="003761C8">
      <w:pPr>
        <w:spacing w:after="120"/>
        <w:jc w:val="center"/>
        <w:rPr>
          <w:rFonts w:ascii="Arial" w:hAnsi="Arial" w:cs="Arial"/>
          <w:b/>
          <w:bCs/>
          <w:i/>
        </w:rPr>
      </w:pPr>
    </w:p>
    <w:p w:rsidR="003761C8" w:rsidRDefault="00C945FC" w:rsidP="003761C8">
      <w:pPr>
        <w:spacing w:after="120"/>
        <w:jc w:val="center"/>
        <w:rPr>
          <w:rFonts w:ascii="Arial" w:hAnsi="Arial" w:cs="Arial"/>
          <w:b/>
          <w:bCs/>
          <w:i/>
        </w:rPr>
      </w:pPr>
      <w:bookmarkStart w:id="0" w:name="_GoBack"/>
      <w:r>
        <w:rPr>
          <w:rFonts w:ascii="Arial" w:hAnsi="Arial" w:cs="Arial"/>
          <w:b/>
          <w:bCs/>
          <w:i/>
        </w:rPr>
        <w:t xml:space="preserve">SCHEMA DI </w:t>
      </w:r>
      <w:r w:rsidR="003761C8">
        <w:rPr>
          <w:rFonts w:ascii="Arial" w:hAnsi="Arial" w:cs="Arial"/>
          <w:b/>
          <w:bCs/>
          <w:i/>
        </w:rPr>
        <w:t>DECRETO CORRETTIVO</w:t>
      </w:r>
    </w:p>
    <w:p w:rsidR="003761C8" w:rsidRDefault="003761C8" w:rsidP="003761C8">
      <w:pPr>
        <w:spacing w:after="12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DEL DECRETO LEGISLATIVO 18 APRILE 2016, N. 50</w:t>
      </w:r>
    </w:p>
    <w:bookmarkEnd w:id="0"/>
    <w:p w:rsidR="00D12964" w:rsidRDefault="00D12964" w:rsidP="003761C8">
      <w:pPr>
        <w:spacing w:after="120"/>
        <w:jc w:val="center"/>
        <w:rPr>
          <w:rFonts w:ascii="Arial" w:hAnsi="Arial" w:cs="Arial"/>
          <w:bCs/>
          <w:i/>
        </w:rPr>
      </w:pPr>
    </w:p>
    <w:p w:rsidR="00D12964" w:rsidRDefault="00D12964" w:rsidP="003761C8">
      <w:pPr>
        <w:spacing w:after="120"/>
        <w:jc w:val="center"/>
        <w:rPr>
          <w:rFonts w:ascii="Arial" w:hAnsi="Arial" w:cs="Arial"/>
          <w:bCs/>
          <w:i/>
        </w:rPr>
      </w:pPr>
    </w:p>
    <w:p w:rsidR="00D12964" w:rsidRDefault="00D12964" w:rsidP="003761C8">
      <w:pPr>
        <w:spacing w:after="120"/>
        <w:jc w:val="center"/>
        <w:rPr>
          <w:rFonts w:ascii="Arial" w:hAnsi="Arial" w:cs="Arial"/>
          <w:bCs/>
          <w:i/>
        </w:rPr>
      </w:pPr>
    </w:p>
    <w:p w:rsidR="00687A98" w:rsidRDefault="00687A98">
      <w:pPr>
        <w:spacing w:after="160" w:line="259" w:lineRule="auto"/>
        <w:rPr>
          <w:rFonts w:ascii="Arial" w:hAnsi="Arial" w:cs="Arial"/>
          <w:b/>
          <w:i/>
        </w:rPr>
      </w:pPr>
    </w:p>
    <w:p w:rsidR="00687A98" w:rsidRDefault="00687A98">
      <w:pPr>
        <w:spacing w:after="160" w:line="259" w:lineRule="auto"/>
        <w:rPr>
          <w:rFonts w:ascii="Arial" w:hAnsi="Arial" w:cs="Arial"/>
          <w:b/>
          <w:i/>
        </w:rPr>
      </w:pPr>
    </w:p>
    <w:p w:rsidR="00687A98" w:rsidRDefault="00687A98">
      <w:pPr>
        <w:spacing w:after="160" w:line="259" w:lineRule="auto"/>
        <w:rPr>
          <w:rFonts w:ascii="Arial" w:hAnsi="Arial" w:cs="Arial"/>
          <w:b/>
          <w:i/>
        </w:rPr>
      </w:pPr>
    </w:p>
    <w:p w:rsidR="00986191" w:rsidRDefault="00687A98" w:rsidP="00986191">
      <w:pPr>
        <w:spacing w:after="160" w:line="259" w:lineRule="auto"/>
        <w:jc w:val="both"/>
        <w:rPr>
          <w:rFonts w:ascii="Arial" w:hAnsi="Arial" w:cs="Arial"/>
          <w:b/>
        </w:rPr>
      </w:pPr>
      <w:r w:rsidRPr="00986191">
        <w:rPr>
          <w:rFonts w:ascii="Arial" w:hAnsi="Arial" w:cs="Arial"/>
          <w:b/>
        </w:rPr>
        <w:t>L’Unione delle Province d’Italia esprime parere favorevole sullo sch</w:t>
      </w:r>
      <w:r w:rsidR="00986191" w:rsidRPr="00986191">
        <w:rPr>
          <w:rFonts w:ascii="Arial" w:hAnsi="Arial" w:cs="Arial"/>
          <w:b/>
        </w:rPr>
        <w:t>ema</w:t>
      </w:r>
      <w:r w:rsidR="00986191" w:rsidRPr="00986191">
        <w:rPr>
          <w:b/>
        </w:rPr>
        <w:t xml:space="preserve"> </w:t>
      </w:r>
      <w:r w:rsidR="00986191" w:rsidRPr="00986191">
        <w:rPr>
          <w:rFonts w:ascii="Arial" w:hAnsi="Arial" w:cs="Arial"/>
          <w:b/>
        </w:rPr>
        <w:t>di decreto legislativo recante disposizioni integrative e correttive al decreto legislativo 18 aprile 2016, n. 50, a condizione che siano accolti gli emendamenti proposti in sede tecnica e contenuti nel presente documento</w:t>
      </w:r>
      <w:r w:rsidR="00986191">
        <w:rPr>
          <w:rFonts w:ascii="Arial" w:hAnsi="Arial" w:cs="Arial"/>
          <w:b/>
        </w:rPr>
        <w:t>.</w:t>
      </w: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60" w:line="259" w:lineRule="auto"/>
        <w:jc w:val="both"/>
        <w:rPr>
          <w:rFonts w:ascii="Arial" w:hAnsi="Arial" w:cs="Arial"/>
          <w:b/>
        </w:rPr>
      </w:pPr>
    </w:p>
    <w:p w:rsidR="00986191" w:rsidRDefault="00986191" w:rsidP="00986191">
      <w:pPr>
        <w:spacing w:after="12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Conferenza unificata</w:t>
      </w:r>
    </w:p>
    <w:p w:rsidR="00986191" w:rsidRPr="00315ED3" w:rsidRDefault="00986191" w:rsidP="00986191">
      <w:pPr>
        <w:spacing w:after="12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Roma, 30 marzo 2017</w:t>
      </w:r>
    </w:p>
    <w:p w:rsidR="00986191" w:rsidRDefault="00986191" w:rsidP="00986191">
      <w:pPr>
        <w:spacing w:after="160" w:line="259" w:lineRule="auto"/>
        <w:rPr>
          <w:rFonts w:ascii="Arial" w:hAnsi="Arial" w:cs="Arial"/>
          <w:b/>
          <w:i/>
        </w:rPr>
      </w:pPr>
    </w:p>
    <w:p w:rsidR="00687A98" w:rsidRPr="00986191" w:rsidRDefault="00687A98" w:rsidP="00986191">
      <w:pPr>
        <w:spacing w:after="160" w:line="259" w:lineRule="auto"/>
        <w:jc w:val="both"/>
        <w:rPr>
          <w:rFonts w:ascii="Arial" w:hAnsi="Arial" w:cs="Arial"/>
          <w:b/>
          <w:i/>
        </w:rPr>
      </w:pPr>
    </w:p>
    <w:p w:rsidR="00687A98" w:rsidRDefault="00687A98" w:rsidP="00C945FC">
      <w:pPr>
        <w:spacing w:after="120"/>
        <w:jc w:val="center"/>
        <w:rPr>
          <w:rFonts w:ascii="Arial" w:hAnsi="Arial" w:cs="Arial"/>
          <w:b/>
          <w:i/>
        </w:rPr>
      </w:pPr>
    </w:p>
    <w:p w:rsidR="00C945FC" w:rsidRPr="00C945FC" w:rsidRDefault="00C945FC" w:rsidP="00C945FC">
      <w:pPr>
        <w:spacing w:after="120"/>
        <w:jc w:val="center"/>
        <w:rPr>
          <w:rFonts w:ascii="Arial" w:hAnsi="Arial" w:cs="Arial"/>
          <w:b/>
          <w:i/>
        </w:rPr>
      </w:pPr>
      <w:r w:rsidRPr="00C945FC">
        <w:rPr>
          <w:rFonts w:ascii="Arial" w:hAnsi="Arial" w:cs="Arial"/>
          <w:b/>
          <w:i/>
        </w:rPr>
        <w:t>Articolo 23</w:t>
      </w:r>
    </w:p>
    <w:p w:rsidR="00C945FC" w:rsidRPr="00C945FC" w:rsidRDefault="00C945FC" w:rsidP="00C945FC">
      <w:pPr>
        <w:spacing w:after="120"/>
        <w:jc w:val="center"/>
        <w:rPr>
          <w:rFonts w:ascii="Arial" w:hAnsi="Arial" w:cs="Arial"/>
          <w:b/>
          <w:i/>
        </w:rPr>
      </w:pPr>
      <w:r w:rsidRPr="00C945FC">
        <w:rPr>
          <w:rFonts w:ascii="Arial" w:hAnsi="Arial" w:cs="Arial"/>
          <w:b/>
          <w:i/>
        </w:rPr>
        <w:t>(Modifiche all’articolo 37 del decreto legislativo 18 aprile 2016, n. 50</w:t>
      </w:r>
    </w:p>
    <w:p w:rsidR="00C945FC" w:rsidRDefault="00C945FC" w:rsidP="003761C8">
      <w:pPr>
        <w:spacing w:after="120"/>
        <w:jc w:val="both"/>
        <w:rPr>
          <w:rFonts w:ascii="Arial" w:hAnsi="Arial" w:cs="Arial"/>
        </w:rPr>
      </w:pPr>
    </w:p>
    <w:p w:rsidR="002D6F89" w:rsidRPr="002D6F89" w:rsidRDefault="002D6F89" w:rsidP="002D6F89">
      <w:pPr>
        <w:jc w:val="center"/>
        <w:rPr>
          <w:rFonts w:ascii="Arial" w:hAnsi="Arial" w:cs="Arial"/>
          <w:b/>
          <w:i/>
        </w:rPr>
      </w:pPr>
      <w:r w:rsidRPr="002D6F89">
        <w:rPr>
          <w:rFonts w:ascii="Arial" w:hAnsi="Arial" w:cs="Arial"/>
          <w:b/>
          <w:i/>
        </w:rPr>
        <w:t>Articolo 23</w:t>
      </w:r>
    </w:p>
    <w:p w:rsidR="002D6F89" w:rsidRPr="002D6F89" w:rsidRDefault="002D6F89" w:rsidP="002D6F89">
      <w:pPr>
        <w:jc w:val="center"/>
        <w:rPr>
          <w:rFonts w:ascii="Arial" w:hAnsi="Arial" w:cs="Arial"/>
          <w:b/>
          <w:i/>
        </w:rPr>
      </w:pPr>
      <w:r w:rsidRPr="002D6F89">
        <w:rPr>
          <w:rFonts w:ascii="Arial" w:hAnsi="Arial" w:cs="Arial"/>
          <w:b/>
          <w:i/>
        </w:rPr>
        <w:t>(Modifiche all’articolo 37 del decreto legislativo 18 aprile 2016, n. 50</w:t>
      </w:r>
    </w:p>
    <w:p w:rsidR="002D6F89" w:rsidRPr="002D6F89" w:rsidRDefault="002D6F89" w:rsidP="002D6F89">
      <w:pPr>
        <w:jc w:val="both"/>
        <w:rPr>
          <w:rFonts w:ascii="Arial" w:hAnsi="Arial" w:cs="Arial"/>
        </w:rPr>
      </w:pPr>
    </w:p>
    <w:p w:rsidR="002D6F89" w:rsidRPr="002D6F89" w:rsidRDefault="002D6F89" w:rsidP="002D6F89">
      <w:pPr>
        <w:spacing w:after="120"/>
        <w:jc w:val="both"/>
        <w:rPr>
          <w:rFonts w:ascii="Arial" w:hAnsi="Arial" w:cs="Arial"/>
        </w:rPr>
      </w:pPr>
      <w:r w:rsidRPr="002D6F89">
        <w:rPr>
          <w:rFonts w:ascii="Arial" w:hAnsi="Arial" w:cs="Arial"/>
        </w:rPr>
        <w:t>Al comma 1, dopo la lettera b) aggiungere la seguente lettera: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b/>
        </w:rPr>
      </w:pPr>
      <w:r w:rsidRPr="002D6F89">
        <w:rPr>
          <w:rFonts w:ascii="Arial" w:hAnsi="Arial" w:cs="Arial"/>
          <w:b/>
        </w:rPr>
        <w:t xml:space="preserve">c) L'art. 37, comma 5, del decreto legislativo 18 aprile 2016, n. 50, è sostituito dal seguente: “Al fine di rafforzare il processo di aggregazione degli appalti e di costituire strutture efficienti con un forte presidio nel territorio le centrali di committenza coincidono con le stazioni </w:t>
      </w:r>
      <w:r w:rsidR="0010626A">
        <w:rPr>
          <w:rFonts w:ascii="Arial" w:hAnsi="Arial" w:cs="Arial"/>
          <w:b/>
        </w:rPr>
        <w:t xml:space="preserve">uniche </w:t>
      </w:r>
      <w:r w:rsidRPr="002D6F89">
        <w:rPr>
          <w:rFonts w:ascii="Arial" w:hAnsi="Arial" w:cs="Arial"/>
          <w:b/>
        </w:rPr>
        <w:t>appaltanti delle province e delle città metropolita</w:t>
      </w:r>
      <w:r>
        <w:rPr>
          <w:rFonts w:ascii="Arial" w:hAnsi="Arial" w:cs="Arial"/>
          <w:b/>
        </w:rPr>
        <w:t>ne istituite in attuazione dell’articolo 1, comma 88,</w:t>
      </w:r>
      <w:r w:rsidRPr="002D6F89">
        <w:rPr>
          <w:rFonts w:ascii="Arial" w:hAnsi="Arial" w:cs="Arial"/>
          <w:b/>
        </w:rPr>
        <w:t xml:space="preserve"> legge 7 aprile 2014, n. 56, salva diversa deliberazione delle assemblee dei sindaci e delle conferenze metropolitane.”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b/>
          <w:bCs/>
          <w:i/>
        </w:rPr>
      </w:pP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i/>
        </w:rPr>
      </w:pPr>
      <w:r w:rsidRPr="002D6F89">
        <w:rPr>
          <w:rFonts w:ascii="Arial" w:hAnsi="Arial" w:cs="Arial"/>
          <w:bCs/>
          <w:i/>
        </w:rPr>
        <w:t>MOTIVAZIONE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i/>
        </w:rPr>
      </w:pPr>
      <w:r w:rsidRPr="002D6F89">
        <w:rPr>
          <w:rFonts w:ascii="Arial" w:hAnsi="Arial" w:cs="Arial"/>
          <w:i/>
        </w:rPr>
        <w:t>La proposta ha l’obiettivo di incentivare le forme di collaborazione e cooperazione tra i Comuni e gli enti di area vasta - Province e Città metropolitane – nella gestione aggregata degli appalti pubblici di competenza degli enti locali, valorizzando il ruolo delle assemblee dei sindaci e delle conferenze metropolitane come luogo dove programmare le scelte migliori per l’organizzazione dei servizi locali nei territori.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bCs/>
          <w:i/>
        </w:rPr>
      </w:pPr>
      <w:r w:rsidRPr="002D6F89">
        <w:rPr>
          <w:rFonts w:ascii="Arial" w:hAnsi="Arial" w:cs="Arial"/>
          <w:bCs/>
          <w:i/>
        </w:rPr>
        <w:t>Sulla base delle previsioni della legge 56/14, pur nelle difficoltà organizzative legate al processo di riordino degli enti e di trasferimento del personale, molte Province si sono attivate per attuare la legge costituendo centrali di committenza per i Comuni del loro territorio: nelle sole regioni a statuto ordinario 50 Province su 76 hanno avviato una stazione unica appaltante coinvolgendo oltre 1200 Comuni.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bCs/>
          <w:i/>
        </w:rPr>
      </w:pPr>
      <w:r w:rsidRPr="002D6F89">
        <w:rPr>
          <w:rFonts w:ascii="Arial" w:hAnsi="Arial" w:cs="Arial"/>
          <w:bCs/>
          <w:i/>
        </w:rPr>
        <w:t>La norma introduce una semplificazione nel codice appalti poiché supera la necessità di elaborare un ulteriore provvedimento attuativo sugli ambiti territoriali delle centrali di committenza e fornisce un orientamento preciso a favore di una dimensione ottimale degli appalti in ambito provinciale o metropolitano.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bCs/>
          <w:i/>
        </w:rPr>
      </w:pPr>
      <w:r w:rsidRPr="002D6F89">
        <w:rPr>
          <w:rFonts w:ascii="Arial" w:hAnsi="Arial" w:cs="Arial"/>
          <w:bCs/>
          <w:i/>
        </w:rPr>
        <w:t>Le Province e le Città metropolitane, previste dalla Costituzione come istituzioni costitutive della Repubblica, sono valorizzate proprio nel loro ruolo di supporto ai Comuni, singoli e associati, ferma restando la necessità della qualificazione ai sensi dell’articolo 38.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bCs/>
          <w:i/>
        </w:rPr>
      </w:pPr>
      <w:r w:rsidRPr="002D6F89">
        <w:rPr>
          <w:rFonts w:ascii="Arial" w:hAnsi="Arial" w:cs="Arial"/>
          <w:bCs/>
          <w:i/>
        </w:rPr>
        <w:t>Allo stesso tempo si prevede un ruolo centrale alle Assemblee dei sindaci e alle Conferenze metropolitane come luogo istituzionale dove i sindaci dei territori possono decidere come organizzare nel modo migliore i servizi nel territorio.</w:t>
      </w:r>
    </w:p>
    <w:p w:rsidR="002D6F89" w:rsidRPr="002D6F89" w:rsidRDefault="002D6F89" w:rsidP="002D6F89">
      <w:pPr>
        <w:spacing w:after="120"/>
        <w:jc w:val="both"/>
        <w:rPr>
          <w:rFonts w:ascii="Arial" w:hAnsi="Arial" w:cs="Arial"/>
          <w:bCs/>
          <w:i/>
        </w:rPr>
      </w:pPr>
      <w:r w:rsidRPr="002D6F89">
        <w:rPr>
          <w:rFonts w:ascii="Arial" w:hAnsi="Arial" w:cs="Arial"/>
          <w:bCs/>
          <w:i/>
        </w:rPr>
        <w:t>In questo modo si favorisce la cooperazione tra gli enti locali al posto della competizione e si garantisce, allo stesso tempo, che in tutte le realtà locali ci sia comunque un presidio nella gestione degli appalti anche per tener conto in modo adeguato della specificità delle economie locali.</w:t>
      </w:r>
    </w:p>
    <w:p w:rsidR="00960DE4" w:rsidRDefault="00960DE4">
      <w:pPr>
        <w:spacing w:after="160" w:line="259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br w:type="page"/>
      </w:r>
    </w:p>
    <w:p w:rsidR="00BD7A2F" w:rsidRPr="00C945FC" w:rsidRDefault="00BD7A2F" w:rsidP="00BD7A2F">
      <w:pPr>
        <w:spacing w:after="120"/>
        <w:jc w:val="center"/>
        <w:rPr>
          <w:rFonts w:ascii="Arial" w:hAnsi="Arial" w:cs="Arial"/>
          <w:b/>
          <w:i/>
        </w:rPr>
      </w:pPr>
      <w:r w:rsidRPr="00C945FC">
        <w:rPr>
          <w:rFonts w:ascii="Arial" w:hAnsi="Arial" w:cs="Arial"/>
          <w:b/>
          <w:i/>
        </w:rPr>
        <w:lastRenderedPageBreak/>
        <w:t>A</w:t>
      </w:r>
      <w:r>
        <w:rPr>
          <w:rFonts w:ascii="Arial" w:hAnsi="Arial" w:cs="Arial"/>
          <w:b/>
          <w:i/>
        </w:rPr>
        <w:t>rticolo 72</w:t>
      </w:r>
    </w:p>
    <w:p w:rsidR="00BD7A2F" w:rsidRPr="00C945FC" w:rsidRDefault="00BD7A2F" w:rsidP="00BD7A2F">
      <w:pPr>
        <w:spacing w:after="120"/>
        <w:jc w:val="center"/>
        <w:rPr>
          <w:rFonts w:ascii="Arial" w:hAnsi="Arial" w:cs="Arial"/>
          <w:b/>
          <w:i/>
        </w:rPr>
      </w:pPr>
      <w:r w:rsidRPr="00C945FC">
        <w:rPr>
          <w:rFonts w:ascii="Arial" w:hAnsi="Arial" w:cs="Arial"/>
          <w:b/>
          <w:i/>
        </w:rPr>
        <w:t>(Modifiche all’</w:t>
      </w:r>
      <w:r>
        <w:rPr>
          <w:rFonts w:ascii="Arial" w:hAnsi="Arial" w:cs="Arial"/>
          <w:b/>
          <w:i/>
        </w:rPr>
        <w:t xml:space="preserve">articolo 113 </w:t>
      </w:r>
      <w:r w:rsidRPr="00C945FC">
        <w:rPr>
          <w:rFonts w:ascii="Arial" w:hAnsi="Arial" w:cs="Arial"/>
          <w:b/>
          <w:i/>
        </w:rPr>
        <w:t>del decreto legislativo 18 aprile 2016, n. 50</w:t>
      </w:r>
    </w:p>
    <w:p w:rsidR="00BD7A2F" w:rsidRDefault="00BD7A2F" w:rsidP="00BD7A2F">
      <w:pPr>
        <w:spacing w:after="120"/>
        <w:jc w:val="both"/>
        <w:rPr>
          <w:rFonts w:ascii="Arial" w:hAnsi="Arial" w:cs="Arial"/>
        </w:rPr>
      </w:pPr>
    </w:p>
    <w:p w:rsidR="00986191" w:rsidRDefault="00BD7A2F" w:rsidP="00BD7A2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 comma 1, lettera b) </w:t>
      </w:r>
      <w:r w:rsidR="007D73D2">
        <w:rPr>
          <w:rFonts w:ascii="Arial" w:hAnsi="Arial" w:cs="Arial"/>
        </w:rPr>
        <w:t>dopo le parole “</w:t>
      </w:r>
      <w:r w:rsidR="00872B03">
        <w:rPr>
          <w:rFonts w:ascii="Arial" w:hAnsi="Arial" w:cs="Arial"/>
        </w:rPr>
        <w:t>di cui al comma 1</w:t>
      </w:r>
      <w:r w:rsidR="007D73D2">
        <w:rPr>
          <w:rFonts w:ascii="Arial" w:hAnsi="Arial" w:cs="Arial"/>
        </w:rPr>
        <w:t xml:space="preserve">” aggiungere le parole </w:t>
      </w:r>
      <w:r w:rsidR="007D73D2" w:rsidRPr="00872B03">
        <w:rPr>
          <w:rFonts w:ascii="Arial" w:hAnsi="Arial" w:cs="Arial"/>
          <w:b/>
        </w:rPr>
        <w:t>“</w:t>
      </w:r>
      <w:r w:rsidR="00872B03" w:rsidRPr="00872B03">
        <w:rPr>
          <w:rFonts w:ascii="Arial" w:hAnsi="Arial" w:cs="Arial"/>
          <w:b/>
        </w:rPr>
        <w:t>indipendentemente dalla fonte di finanziamento</w:t>
      </w:r>
      <w:r w:rsidR="00872B03">
        <w:rPr>
          <w:rFonts w:ascii="Arial" w:hAnsi="Arial" w:cs="Arial"/>
          <w:b/>
        </w:rPr>
        <w:t>”</w:t>
      </w:r>
      <w:r w:rsidR="00986191">
        <w:rPr>
          <w:rFonts w:ascii="Arial" w:hAnsi="Arial" w:cs="Arial"/>
        </w:rPr>
        <w:t>;</w:t>
      </w:r>
    </w:p>
    <w:p w:rsidR="007D73D2" w:rsidRDefault="00872B03" w:rsidP="00BD7A2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dopo le parole “collaudatore statico” aggiungere </w:t>
      </w:r>
      <w:r w:rsidRPr="00872B03">
        <w:rPr>
          <w:rFonts w:ascii="Arial" w:hAnsi="Arial" w:cs="Arial"/>
          <w:b/>
        </w:rPr>
        <w:t>“,”</w:t>
      </w:r>
      <w:r>
        <w:rPr>
          <w:rFonts w:ascii="Arial" w:hAnsi="Arial" w:cs="Arial"/>
        </w:rPr>
        <w:t>.</w:t>
      </w:r>
    </w:p>
    <w:p w:rsidR="00872B03" w:rsidRPr="007D73D2" w:rsidRDefault="00872B03" w:rsidP="007D73D2">
      <w:pPr>
        <w:spacing w:after="120"/>
        <w:jc w:val="both"/>
        <w:rPr>
          <w:rFonts w:ascii="Arial" w:hAnsi="Arial" w:cs="Arial"/>
        </w:rPr>
      </w:pPr>
    </w:p>
    <w:p w:rsidR="00872B03" w:rsidRPr="00BD7A2F" w:rsidRDefault="007D73D2" w:rsidP="007D73D2">
      <w:pPr>
        <w:spacing w:after="120"/>
        <w:jc w:val="both"/>
        <w:rPr>
          <w:rFonts w:ascii="Arial" w:hAnsi="Arial" w:cs="Arial"/>
          <w:bCs/>
          <w:i/>
        </w:rPr>
      </w:pPr>
      <w:r w:rsidRPr="00BD7A2F">
        <w:rPr>
          <w:rFonts w:ascii="Arial" w:hAnsi="Arial" w:cs="Arial"/>
          <w:bCs/>
          <w:i/>
        </w:rPr>
        <w:t>MOTIVAZIONE</w:t>
      </w:r>
    </w:p>
    <w:p w:rsidR="007D73D2" w:rsidRDefault="00872B03" w:rsidP="007D73D2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prima modifica esplicita che per la costituzione del fondo di incentivo per il personale che svolge funzioni tecniche nelle amministrazioni aggiudicatrici si può attingere a tutte le risorse disponibili negli enti, non solo quelle presenti nel loro bilancio, ma anche quelle che derivano dai mutui per il finanziamento delle opere</w:t>
      </w:r>
      <w:r w:rsidR="007D73D2" w:rsidRPr="003761C8">
        <w:rPr>
          <w:rFonts w:ascii="Arial" w:hAnsi="Arial" w:cs="Arial"/>
          <w:i/>
        </w:rPr>
        <w:t>.</w:t>
      </w:r>
    </w:p>
    <w:p w:rsidR="00872B03" w:rsidRDefault="00872B03" w:rsidP="00C945FC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seconda modifica inserisce una virgola tra le parole “collaudatore statico”</w:t>
      </w:r>
      <w:r w:rsidR="007D01A8">
        <w:rPr>
          <w:rFonts w:ascii="Arial" w:hAnsi="Arial" w:cs="Arial"/>
          <w:i/>
        </w:rPr>
        <w:t xml:space="preserve"> e</w:t>
      </w:r>
      <w:r w:rsidR="00986191">
        <w:rPr>
          <w:rFonts w:ascii="Arial" w:hAnsi="Arial" w:cs="Arial"/>
          <w:i/>
        </w:rPr>
        <w:t xml:space="preserve"> </w:t>
      </w:r>
      <w:r w:rsidR="00C945FC" w:rsidRPr="00C945FC">
        <w:rPr>
          <w:rFonts w:ascii="Arial" w:hAnsi="Arial" w:cs="Arial"/>
          <w:i/>
        </w:rPr>
        <w:t>“ove necessario per consentire l'esecuzione del contratto nel rispetto dei documenti a base di gara, del progetto, dei tempi e costi prestabiliti”</w:t>
      </w:r>
      <w:r w:rsidR="00C945FC">
        <w:rPr>
          <w:rFonts w:ascii="Arial" w:hAnsi="Arial" w:cs="Arial"/>
          <w:i/>
        </w:rPr>
        <w:t xml:space="preserve"> per rendere</w:t>
      </w:r>
      <w:r w:rsidR="00C945FC" w:rsidRPr="00C945FC">
        <w:rPr>
          <w:rFonts w:ascii="Arial" w:hAnsi="Arial" w:cs="Arial"/>
          <w:i/>
        </w:rPr>
        <w:t xml:space="preserve"> esplicito che finalità degli incentivi è garantire il rispetto dei tempi, dei costi e del progetto, rientrando diversamente l’</w:t>
      </w:r>
      <w:r w:rsidR="007D01A8">
        <w:rPr>
          <w:rFonts w:ascii="Arial" w:hAnsi="Arial" w:cs="Arial"/>
          <w:i/>
        </w:rPr>
        <w:t>attività dei dipendenti nella on</w:t>
      </w:r>
      <w:r w:rsidR="00C945FC" w:rsidRPr="00C945FC">
        <w:rPr>
          <w:rFonts w:ascii="Arial" w:hAnsi="Arial" w:cs="Arial"/>
          <w:i/>
        </w:rPr>
        <w:t>nicomprensività del trat</w:t>
      </w:r>
      <w:r w:rsidR="00C945FC">
        <w:rPr>
          <w:rFonts w:ascii="Arial" w:hAnsi="Arial" w:cs="Arial"/>
          <w:i/>
        </w:rPr>
        <w:t>tamento economico in godimento.</w:t>
      </w:r>
    </w:p>
    <w:p w:rsidR="00C945FC" w:rsidRDefault="00C945FC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D7A2F" w:rsidRPr="00C945FC" w:rsidRDefault="00BD7A2F" w:rsidP="00BD7A2F">
      <w:pPr>
        <w:spacing w:after="120"/>
        <w:jc w:val="center"/>
        <w:rPr>
          <w:rFonts w:ascii="Arial" w:hAnsi="Arial" w:cs="Arial"/>
          <w:b/>
          <w:i/>
        </w:rPr>
      </w:pPr>
      <w:r w:rsidRPr="00C945FC">
        <w:rPr>
          <w:rFonts w:ascii="Arial" w:hAnsi="Arial" w:cs="Arial"/>
          <w:b/>
          <w:i/>
        </w:rPr>
        <w:lastRenderedPageBreak/>
        <w:t>A</w:t>
      </w:r>
      <w:r w:rsidR="008B1247">
        <w:rPr>
          <w:rFonts w:ascii="Arial" w:hAnsi="Arial" w:cs="Arial"/>
          <w:b/>
          <w:i/>
        </w:rPr>
        <w:t>rticolo 91</w:t>
      </w:r>
    </w:p>
    <w:p w:rsidR="00BD7A2F" w:rsidRPr="00C945FC" w:rsidRDefault="00BD7A2F" w:rsidP="00BD7A2F">
      <w:pPr>
        <w:spacing w:after="120"/>
        <w:jc w:val="center"/>
        <w:rPr>
          <w:rFonts w:ascii="Arial" w:hAnsi="Arial" w:cs="Arial"/>
          <w:b/>
          <w:i/>
        </w:rPr>
      </w:pPr>
      <w:r w:rsidRPr="00C945FC">
        <w:rPr>
          <w:rFonts w:ascii="Arial" w:hAnsi="Arial" w:cs="Arial"/>
          <w:b/>
          <w:i/>
        </w:rPr>
        <w:t>(Modifiche all’</w:t>
      </w:r>
      <w:r>
        <w:rPr>
          <w:rFonts w:ascii="Arial" w:hAnsi="Arial" w:cs="Arial"/>
          <w:b/>
          <w:i/>
        </w:rPr>
        <w:t xml:space="preserve">articolo </w:t>
      </w:r>
      <w:r w:rsidR="008B1247">
        <w:rPr>
          <w:rFonts w:ascii="Arial" w:hAnsi="Arial" w:cs="Arial"/>
          <w:b/>
          <w:i/>
        </w:rPr>
        <w:t>16</w:t>
      </w:r>
      <w:r>
        <w:rPr>
          <w:rFonts w:ascii="Arial" w:hAnsi="Arial" w:cs="Arial"/>
          <w:b/>
          <w:i/>
        </w:rPr>
        <w:t xml:space="preserve">3 </w:t>
      </w:r>
      <w:r w:rsidRPr="00C945FC">
        <w:rPr>
          <w:rFonts w:ascii="Arial" w:hAnsi="Arial" w:cs="Arial"/>
          <w:b/>
          <w:i/>
        </w:rPr>
        <w:t>del decreto legislativo 18 aprile 2016, n. 50</w:t>
      </w:r>
    </w:p>
    <w:p w:rsidR="00BD7A2F" w:rsidRDefault="00BD7A2F" w:rsidP="00BD7A2F">
      <w:pPr>
        <w:spacing w:after="120"/>
        <w:jc w:val="both"/>
        <w:rPr>
          <w:rFonts w:ascii="Arial" w:hAnsi="Arial" w:cs="Arial"/>
        </w:rPr>
      </w:pPr>
    </w:p>
    <w:p w:rsidR="00BD7A2F" w:rsidRDefault="00BD7A2F" w:rsidP="00BD7A2F">
      <w:pPr>
        <w:spacing w:after="120"/>
        <w:jc w:val="both"/>
        <w:rPr>
          <w:rFonts w:ascii="Arial" w:hAnsi="Arial" w:cs="Arial"/>
        </w:rPr>
      </w:pPr>
    </w:p>
    <w:p w:rsidR="003761C8" w:rsidRPr="007D73D2" w:rsidRDefault="0087355D" w:rsidP="008735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Al comma 1, lettera a</w:t>
      </w:r>
      <w:r w:rsidR="00BD7A2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inserire all’inizio le seguenti parole: </w:t>
      </w:r>
      <w:r w:rsidRPr="0087355D">
        <w:rPr>
          <w:rFonts w:ascii="Arial" w:hAnsi="Arial" w:cs="Arial"/>
          <w:b/>
          <w:bCs/>
        </w:rPr>
        <w:t>“</w:t>
      </w:r>
      <w:r w:rsidR="000B27D0" w:rsidRPr="0087355D">
        <w:rPr>
          <w:rFonts w:ascii="Arial" w:hAnsi="Arial" w:cs="Arial"/>
          <w:b/>
        </w:rPr>
        <w:t xml:space="preserve">dopo le parole “alcun indugio” aggiungere le seguenti parole “o finalizzate </w:t>
      </w:r>
      <w:r w:rsidR="003761C8" w:rsidRPr="0087355D">
        <w:rPr>
          <w:rFonts w:ascii="Arial" w:hAnsi="Arial" w:cs="Arial"/>
          <w:b/>
        </w:rPr>
        <w:t>scongiurare notevoli disservizi e forti disagi per i cittadini</w:t>
      </w:r>
      <w:r w:rsidRPr="0087355D">
        <w:rPr>
          <w:rFonts w:ascii="Arial" w:hAnsi="Arial" w:cs="Arial"/>
          <w:b/>
        </w:rPr>
        <w:t>;</w:t>
      </w:r>
      <w:r w:rsidR="000B27D0" w:rsidRPr="000B27D0">
        <w:rPr>
          <w:rFonts w:ascii="Arial" w:hAnsi="Arial" w:cs="Arial"/>
          <w:b/>
        </w:rPr>
        <w:t>”</w:t>
      </w:r>
    </w:p>
    <w:p w:rsidR="00BD7A2F" w:rsidRDefault="00BD7A2F" w:rsidP="003761C8">
      <w:pPr>
        <w:spacing w:after="120"/>
        <w:jc w:val="both"/>
        <w:rPr>
          <w:rFonts w:ascii="Arial" w:hAnsi="Arial" w:cs="Arial"/>
          <w:b/>
          <w:bCs/>
          <w:i/>
        </w:rPr>
      </w:pPr>
    </w:p>
    <w:p w:rsidR="00BD7A2F" w:rsidRPr="00BD7A2F" w:rsidRDefault="003761C8" w:rsidP="003761C8">
      <w:pPr>
        <w:spacing w:after="120"/>
        <w:jc w:val="both"/>
        <w:rPr>
          <w:rFonts w:ascii="Arial" w:hAnsi="Arial" w:cs="Arial"/>
          <w:i/>
        </w:rPr>
      </w:pPr>
      <w:r w:rsidRPr="00BD7A2F">
        <w:rPr>
          <w:rFonts w:ascii="Arial" w:hAnsi="Arial" w:cs="Arial"/>
          <w:bCs/>
          <w:i/>
        </w:rPr>
        <w:t>MOTIVAZIONE</w:t>
      </w:r>
    </w:p>
    <w:p w:rsidR="003761C8" w:rsidRPr="003761C8" w:rsidRDefault="003761C8" w:rsidP="003761C8">
      <w:pPr>
        <w:spacing w:after="120"/>
        <w:jc w:val="both"/>
        <w:rPr>
          <w:rFonts w:ascii="Arial" w:hAnsi="Arial" w:cs="Arial"/>
          <w:i/>
        </w:rPr>
      </w:pPr>
      <w:r w:rsidRPr="003761C8">
        <w:rPr>
          <w:rFonts w:ascii="Arial" w:hAnsi="Arial" w:cs="Arial"/>
          <w:i/>
        </w:rPr>
        <w:t xml:space="preserve">Il ricorso alle procedure previste dall'art. 163 </w:t>
      </w:r>
      <w:r w:rsidR="0087355D">
        <w:rPr>
          <w:rFonts w:ascii="Arial" w:hAnsi="Arial" w:cs="Arial"/>
          <w:i/>
        </w:rPr>
        <w:t>del D.Lgs. 50/2016 è ammesso sol</w:t>
      </w:r>
      <w:r w:rsidRPr="003761C8">
        <w:rPr>
          <w:rFonts w:ascii="Arial" w:hAnsi="Arial" w:cs="Arial"/>
          <w:i/>
        </w:rPr>
        <w:t>o in circostanze di somma urgenza che non consentono alcun indugio e che costituiscono pregiudizio per la pubblica incolumità ovvero calamità naturali o connesse con l'attività dell'uomo che in ragione della loro intensità ed estensione debbono, con immediatezza d'intervento, essere fronteggiate con mezzi e poteri straordinari da impiegare durante limitati e predefiniti periodi di tempo, ovvero la ragionevole previsione dell'imminente verificarsi di detti eventi.</w:t>
      </w:r>
    </w:p>
    <w:p w:rsidR="003761C8" w:rsidRPr="003761C8" w:rsidRDefault="003761C8" w:rsidP="003761C8">
      <w:pPr>
        <w:spacing w:after="120"/>
        <w:jc w:val="both"/>
        <w:rPr>
          <w:rFonts w:ascii="Arial" w:hAnsi="Arial" w:cs="Arial"/>
          <w:i/>
        </w:rPr>
      </w:pPr>
      <w:r w:rsidRPr="003761C8">
        <w:rPr>
          <w:rFonts w:ascii="Arial" w:hAnsi="Arial" w:cs="Arial"/>
          <w:i/>
        </w:rPr>
        <w:t>Esistono però molte altre casistiche che tecnicamente non possono essere inquadrate nella somma urgenza,</w:t>
      </w:r>
      <w:r w:rsidR="0087355D">
        <w:rPr>
          <w:rFonts w:ascii="Arial" w:hAnsi="Arial" w:cs="Arial"/>
          <w:i/>
        </w:rPr>
        <w:t xml:space="preserve"> ma che nei fatti richiedon</w:t>
      </w:r>
      <w:r w:rsidRPr="003761C8">
        <w:rPr>
          <w:rFonts w:ascii="Arial" w:hAnsi="Arial" w:cs="Arial"/>
          <w:i/>
        </w:rPr>
        <w:t>o interventi altrettanto tempestivi al fine di scongiurare notevoli disservizi, disagi agli utenti e forti penalizzazioni economiche; si pensi ad esempio alle conseguenze dovute all'interruzione per frana di una strada importante, al cedimento di un ponte ovvero a problemi di agibilità di qualche edificio scolastico.</w:t>
      </w:r>
    </w:p>
    <w:p w:rsidR="003761C8" w:rsidRPr="003761C8" w:rsidRDefault="003761C8" w:rsidP="003761C8">
      <w:pPr>
        <w:spacing w:after="120"/>
        <w:jc w:val="both"/>
        <w:rPr>
          <w:rFonts w:ascii="Arial" w:hAnsi="Arial" w:cs="Arial"/>
          <w:i/>
        </w:rPr>
      </w:pPr>
      <w:r w:rsidRPr="003761C8">
        <w:rPr>
          <w:rFonts w:ascii="Arial" w:hAnsi="Arial" w:cs="Arial"/>
          <w:i/>
        </w:rPr>
        <w:t>Sarebbe opportuno che anche tali situazioni potessero essere affrontate e risolte con la dovuta celerità, eventualmente ricorrendo a procedure semplificate e accelerate in analogia a quanto era previsto dal</w:t>
      </w:r>
      <w:r w:rsidR="000B27D0">
        <w:rPr>
          <w:rFonts w:ascii="Arial" w:hAnsi="Arial" w:cs="Arial"/>
          <w:i/>
        </w:rPr>
        <w:t>l'art. 175 del DPR 207/2010.</w:t>
      </w:r>
    </w:p>
    <w:sectPr w:rsidR="003761C8" w:rsidRPr="003761C8" w:rsidSect="00986191"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D7" w:rsidRDefault="005A59D7" w:rsidP="00986191">
      <w:r>
        <w:separator/>
      </w:r>
    </w:p>
  </w:endnote>
  <w:endnote w:type="continuationSeparator" w:id="0">
    <w:p w:rsidR="005A59D7" w:rsidRDefault="005A59D7" w:rsidP="0098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87584"/>
      <w:docPartObj>
        <w:docPartGallery w:val="Page Numbers (Bottom of Page)"/>
        <w:docPartUnique/>
      </w:docPartObj>
    </w:sdtPr>
    <w:sdtEndPr/>
    <w:sdtContent>
      <w:p w:rsidR="00986191" w:rsidRDefault="009861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16">
          <w:rPr>
            <w:noProof/>
          </w:rPr>
          <w:t>1</w:t>
        </w:r>
        <w:r>
          <w:fldChar w:fldCharType="end"/>
        </w:r>
      </w:p>
    </w:sdtContent>
  </w:sdt>
  <w:p w:rsidR="00986191" w:rsidRDefault="009861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D7" w:rsidRDefault="005A59D7" w:rsidP="00986191">
      <w:r>
        <w:separator/>
      </w:r>
    </w:p>
  </w:footnote>
  <w:footnote w:type="continuationSeparator" w:id="0">
    <w:p w:rsidR="005A59D7" w:rsidRDefault="005A59D7" w:rsidP="00986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C8"/>
    <w:rsid w:val="000B27D0"/>
    <w:rsid w:val="000F6941"/>
    <w:rsid w:val="0010626A"/>
    <w:rsid w:val="00187FEC"/>
    <w:rsid w:val="001D1444"/>
    <w:rsid w:val="002D6F89"/>
    <w:rsid w:val="00315ED3"/>
    <w:rsid w:val="003761C8"/>
    <w:rsid w:val="00503881"/>
    <w:rsid w:val="00533516"/>
    <w:rsid w:val="005A59D7"/>
    <w:rsid w:val="00675796"/>
    <w:rsid w:val="00687A98"/>
    <w:rsid w:val="00700FDF"/>
    <w:rsid w:val="007B1E58"/>
    <w:rsid w:val="007D01A8"/>
    <w:rsid w:val="007D73D2"/>
    <w:rsid w:val="00872B03"/>
    <w:rsid w:val="0087355D"/>
    <w:rsid w:val="00892871"/>
    <w:rsid w:val="008B1247"/>
    <w:rsid w:val="00960DE4"/>
    <w:rsid w:val="00986191"/>
    <w:rsid w:val="00B13AED"/>
    <w:rsid w:val="00BB0919"/>
    <w:rsid w:val="00BD7A2F"/>
    <w:rsid w:val="00C945FC"/>
    <w:rsid w:val="00D12964"/>
    <w:rsid w:val="00E51D22"/>
    <w:rsid w:val="00EF1B82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E3D45-14C4-4FFF-BFDB-E272FA0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7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E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ED3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86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191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86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1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F385-AD5E-44B1-B24A-1E054E5B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Palombelli</dc:creator>
  <cp:keywords/>
  <dc:description/>
  <cp:lastModifiedBy>alessandra di giammarco</cp:lastModifiedBy>
  <cp:revision>2</cp:revision>
  <cp:lastPrinted>2017-03-21T08:48:00Z</cp:lastPrinted>
  <dcterms:created xsi:type="dcterms:W3CDTF">2017-03-31T09:24:00Z</dcterms:created>
  <dcterms:modified xsi:type="dcterms:W3CDTF">2017-03-31T09:24:00Z</dcterms:modified>
</cp:coreProperties>
</file>